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80" w:rsidRDefault="00F86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</w:t>
            </w:r>
          </w:p>
        </w:tc>
      </w:tr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spacing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Insurance and Risk Management</w:t>
            </w:r>
          </w:p>
        </w:tc>
      </w:tr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ED7063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ED7063">
              <w:rPr>
                <w:rFonts w:eastAsia="Calibri" w:cs="Calibri"/>
                <w:b/>
                <w:sz w:val="20"/>
                <w:szCs w:val="20"/>
              </w:rPr>
              <w:t>04MB0427</w:t>
            </w:r>
          </w:p>
        </w:tc>
      </w:tr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F86E8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Sessions </w:t>
            </w:r>
          </w:p>
        </w:tc>
      </w:tr>
    </w:tbl>
    <w:p w:rsidR="00F86E80" w:rsidRDefault="00F86E80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F86E80" w:rsidRDefault="00697E99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F86E80" w:rsidRDefault="00697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Analyze the concept of Risk and role of insurance in Risk management.</w:t>
      </w:r>
    </w:p>
    <w:p w:rsidR="00F86E80" w:rsidRDefault="00697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>Appraise</w:t>
      </w:r>
      <w:r>
        <w:rPr>
          <w:rFonts w:eastAsia="Calibri" w:cs="Calibri"/>
          <w:color w:val="000000"/>
          <w:sz w:val="20"/>
          <w:szCs w:val="20"/>
        </w:rPr>
        <w:t xml:space="preserve"> the role of Health insurance and fire insurance in providing financial protection under catastrophic risk.</w:t>
      </w:r>
    </w:p>
    <w:p w:rsidR="00F86E80" w:rsidRDefault="00697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Evaluat</w:t>
      </w:r>
      <w:r>
        <w:rPr>
          <w:sz w:val="20"/>
          <w:szCs w:val="20"/>
        </w:rPr>
        <w:t>e</w:t>
      </w:r>
      <w:r>
        <w:rPr>
          <w:rFonts w:eastAsia="Calibri" w:cs="Calibri"/>
          <w:color w:val="000000"/>
          <w:sz w:val="20"/>
          <w:szCs w:val="20"/>
        </w:rPr>
        <w:t xml:space="preserve"> the role of Marine insurance in enhancing international trade and risk management.</w:t>
      </w:r>
    </w:p>
    <w:p w:rsidR="00F86E80" w:rsidRDefault="00697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Determine the </w:t>
      </w:r>
      <w:r>
        <w:rPr>
          <w:rFonts w:eastAsia="Calibri" w:cs="Calibri"/>
          <w:color w:val="000000"/>
          <w:sz w:val="20"/>
          <w:szCs w:val="20"/>
        </w:rPr>
        <w:t>risk associated with vehicle ownership and role of Automobile insurance.</w:t>
      </w:r>
    </w:p>
    <w:p w:rsidR="00F86E80" w:rsidRDefault="00697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Identify </w:t>
      </w:r>
      <w:r>
        <w:rPr>
          <w:rFonts w:eastAsia="Calibri" w:cs="Calibri"/>
          <w:color w:val="000000"/>
          <w:sz w:val="20"/>
          <w:szCs w:val="20"/>
        </w:rPr>
        <w:t>the role of Reinsurance in risk transfer.</w:t>
      </w:r>
    </w:p>
    <w:p w:rsidR="00F86E80" w:rsidRDefault="00697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F86E80" w:rsidRDefault="00F8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5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F86E80" w:rsidRPr="00ED7063"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ED7063">
              <w:rPr>
                <w:rFonts w:eastAsia="Calibri" w:cs="Calibri"/>
                <w:b/>
                <w:sz w:val="18"/>
                <w:szCs w:val="18"/>
              </w:rPr>
              <w:t>Unit No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Unit / Sub Unit</w:t>
            </w: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Sessions</w:t>
            </w:r>
          </w:p>
        </w:tc>
      </w:tr>
      <w:tr w:rsidR="00F86E80" w:rsidRPr="00ED7063"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Introduction to Risk Management</w:t>
            </w:r>
          </w:p>
          <w:p w:rsidR="00F86E80" w:rsidRPr="00ED7063" w:rsidRDefault="00697E99">
            <w:pPr>
              <w:jc w:val="both"/>
              <w:rPr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 xml:space="preserve">Concept of Risk and Uncertainty, Peril, Hazard, Classification of risk – </w:t>
            </w:r>
            <w:r w:rsidRPr="00ED7063">
              <w:rPr>
                <w:sz w:val="18"/>
                <w:szCs w:val="18"/>
              </w:rPr>
              <w:t xml:space="preserve">Pure and speculative risk, Diversifiable risk and non-diversifiable risk, Enterprise risk, Systemic risk, Technique of risk management. Insurance and Risk – Definition and characteristics of insurance, Insurance and Gambling, Insurance and Hedging, Type of insurance, Benefit, and cost of insurance. 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sz w:val="18"/>
                <w:szCs w:val="18"/>
              </w:rPr>
              <w:t xml:space="preserve">Introduction to Risk Management – Meaning and Objective of risk management, steps in the risk management, personal risk management, benefit of risk management. Enterprise risk management – Meaning, Insurance market dynamism, introduction to loss forecasting, Risk management tools </w:t>
            </w: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10</w:t>
            </w:r>
          </w:p>
        </w:tc>
      </w:tr>
      <w:tr w:rsidR="00F86E80" w:rsidRPr="00ED7063"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Non-Life Insurance - I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Health Insurance - Meaning, Current scenario, Health insurance plans schemes, Micro health insurance. Fire insurance – Fire insurance contract, proposal and coverage, special coverage, Progress of fire insurance.</w:t>
            </w: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F86E80" w:rsidRPr="00ED7063"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Non-Life Insurance – II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Marine Insurance – Definition, history of marine insurance, Marine insurance contract, marine insurance policies, policy condition, special marine cover, marine cargo loss and fraud.  Automobile Insurance – losses associated with automobile ownership and usage, need of automobile insurance, type of policies, factors considered in premium rating.</w:t>
            </w:r>
          </w:p>
          <w:p w:rsidR="00F86E80" w:rsidRPr="00ED7063" w:rsidRDefault="00F86E80">
            <w:pPr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F86E80" w:rsidRPr="00ED7063"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Underwriting and Claim Management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 xml:space="preserve">Underwriting – Philosophy of underwriting, objective, and </w:t>
            </w:r>
            <w:r w:rsidRPr="00ED7063">
              <w:rPr>
                <w:sz w:val="18"/>
                <w:szCs w:val="18"/>
              </w:rPr>
              <w:t>principles</w:t>
            </w:r>
            <w:r w:rsidRPr="00ED7063">
              <w:rPr>
                <w:rFonts w:eastAsia="Calibri" w:cs="Calibri"/>
                <w:sz w:val="18"/>
                <w:szCs w:val="18"/>
              </w:rPr>
              <w:t xml:space="preserve"> of underwriting, underwriting of life and non-life insurance.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Claims Management – Introduction, claim settlement in general insurance, claim management in life insurance, repudiation of claims.</w:t>
            </w: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F86E80" w:rsidRPr="00ED7063">
        <w:trPr>
          <w:trHeight w:val="440"/>
        </w:trPr>
        <w:tc>
          <w:tcPr>
            <w:tcW w:w="1143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7347" w:type="dxa"/>
          </w:tcPr>
          <w:p w:rsidR="00F86E80" w:rsidRPr="00ED7063" w:rsidRDefault="00697E99">
            <w:pPr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ED7063">
              <w:rPr>
                <w:rFonts w:eastAsia="Calibri" w:cs="Calibri"/>
                <w:b/>
                <w:sz w:val="18"/>
                <w:szCs w:val="18"/>
              </w:rPr>
              <w:t>Reinsurance and Financial Aspect of Insurance Companies</w:t>
            </w:r>
          </w:p>
          <w:p w:rsidR="00F86E80" w:rsidRPr="00ED7063" w:rsidRDefault="00697E99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Reinsurance – Introduction, role of reinsurance, techniques of reinsurance, nature of reinsurance, reinsurance in India, Global reinsurance market, reinsurance trading. Financial Aspect of Insurance companies – Financial objective of an Insurance companies, role of financial manager, performance measurement of Insurance companies, Asset Liability management, ratio analysis in insurance companies</w:t>
            </w:r>
          </w:p>
        </w:tc>
        <w:tc>
          <w:tcPr>
            <w:tcW w:w="1316" w:type="dxa"/>
          </w:tcPr>
          <w:p w:rsidR="00F86E80" w:rsidRPr="00ED7063" w:rsidRDefault="00697E99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ED7063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</w:tbl>
    <w:p w:rsidR="00F86E80" w:rsidRDefault="00F86E80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F86E80" w:rsidRDefault="00697E99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F86E80" w:rsidRDefault="00697E99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EVALUATION:</w:t>
      </w:r>
    </w:p>
    <w:p w:rsidR="00F86E80" w:rsidRDefault="00697E99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6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F86E80">
        <w:tc>
          <w:tcPr>
            <w:tcW w:w="709" w:type="dxa"/>
          </w:tcPr>
          <w:p w:rsidR="00F86E80" w:rsidRDefault="00F86E80">
            <w:pPr>
              <w:spacing w:before="60" w:after="60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F86E80">
        <w:tc>
          <w:tcPr>
            <w:tcW w:w="709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F86E80" w:rsidRDefault="00697E99">
            <w:pPr>
              <w:spacing w:before="60" w:after="6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20%  (C.E.C.)</w:t>
            </w:r>
          </w:p>
        </w:tc>
      </w:tr>
      <w:tr w:rsidR="00F86E80">
        <w:tc>
          <w:tcPr>
            <w:tcW w:w="709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F86E80" w:rsidRDefault="00697E99">
            <w:pPr>
              <w:spacing w:before="60" w:after="6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30%   (I.A.)</w:t>
            </w:r>
          </w:p>
        </w:tc>
      </w:tr>
      <w:tr w:rsidR="00F86E80">
        <w:tc>
          <w:tcPr>
            <w:tcW w:w="709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F86E80" w:rsidRDefault="00697E99">
            <w:pPr>
              <w:spacing w:before="60" w:after="6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F86E80" w:rsidRDefault="00697E99">
            <w:pPr>
              <w:spacing w:before="60" w:after="6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F86E80" w:rsidRDefault="00F86E80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F86E80" w:rsidRDefault="00697E99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F86E80" w:rsidRDefault="00697E99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F86E80" w:rsidRDefault="00F86E80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7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2010"/>
        <w:gridCol w:w="2790"/>
        <w:gridCol w:w="2325"/>
        <w:gridCol w:w="1740"/>
      </w:tblGrid>
      <w:tr w:rsidR="00F86E80">
        <w:tc>
          <w:tcPr>
            <w:tcW w:w="84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9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74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F86E80" w:rsidRDefault="00F86E80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F86E80">
        <w:tc>
          <w:tcPr>
            <w:tcW w:w="84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F86E80" w:rsidRDefault="00F86E80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>P.K. Gupta</w:t>
            </w:r>
          </w:p>
        </w:tc>
        <w:tc>
          <w:tcPr>
            <w:tcW w:w="279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Essentials of Insurance and Risk Management</w:t>
            </w:r>
          </w:p>
        </w:tc>
        <w:tc>
          <w:tcPr>
            <w:tcW w:w="2325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>Himalaya</w:t>
            </w:r>
          </w:p>
        </w:tc>
        <w:tc>
          <w:tcPr>
            <w:tcW w:w="174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eastAsia="Calibri" w:cs="Calibri"/>
                <w:sz w:val="20"/>
                <w:szCs w:val="20"/>
              </w:rPr>
              <w:t xml:space="preserve"> Edition, 2016</w:t>
            </w:r>
          </w:p>
        </w:tc>
      </w:tr>
      <w:tr w:rsidR="00F86E80">
        <w:tc>
          <w:tcPr>
            <w:tcW w:w="84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George 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Rajeda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&amp;</w:t>
            </w:r>
          </w:p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Michale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J. McNamara</w:t>
            </w:r>
          </w:p>
        </w:tc>
        <w:tc>
          <w:tcPr>
            <w:tcW w:w="279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Principles of Risk Management and Insurance</w:t>
            </w:r>
          </w:p>
        </w:tc>
        <w:tc>
          <w:tcPr>
            <w:tcW w:w="232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74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13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Calibri" w:cs="Calibri"/>
                <w:sz w:val="20"/>
                <w:szCs w:val="20"/>
              </w:rPr>
              <w:t xml:space="preserve"> Edition,2016</w:t>
            </w:r>
          </w:p>
        </w:tc>
      </w:tr>
      <w:tr w:rsidR="00F86E80">
        <w:tc>
          <w:tcPr>
            <w:tcW w:w="84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Scott E Harrington, Gregory R. Niehaus</w:t>
            </w:r>
          </w:p>
        </w:tc>
        <w:tc>
          <w:tcPr>
            <w:tcW w:w="279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Risk Management and Insurance</w:t>
            </w:r>
          </w:p>
        </w:tc>
        <w:tc>
          <w:tcPr>
            <w:tcW w:w="2325" w:type="dxa"/>
          </w:tcPr>
          <w:p w:rsidR="00F86E80" w:rsidRDefault="00697E99">
            <w:pPr>
              <w:rPr>
                <w:rFonts w:eastAsia="Calibri" w:cs="Calibri"/>
                <w:sz w:val="20"/>
                <w:szCs w:val="20"/>
              </w:rPr>
            </w:pPr>
            <w:r>
              <w:t>McGraw Hill</w:t>
            </w:r>
          </w:p>
        </w:tc>
        <w:tc>
          <w:tcPr>
            <w:tcW w:w="1740" w:type="dxa"/>
          </w:tcPr>
          <w:p w:rsidR="00F86E80" w:rsidRDefault="00697E9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eastAsia="Calibri" w:cs="Calibri"/>
                <w:sz w:val="20"/>
                <w:szCs w:val="20"/>
              </w:rPr>
              <w:t>,Edition 2013</w:t>
            </w:r>
          </w:p>
        </w:tc>
      </w:tr>
    </w:tbl>
    <w:p w:rsidR="00F86E80" w:rsidRDefault="00F8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F86E80" w:rsidRDefault="00F8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F86E80" w:rsidRDefault="00697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F86E80" w:rsidRDefault="00F86E80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8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950"/>
        <w:gridCol w:w="2820"/>
        <w:gridCol w:w="2310"/>
        <w:gridCol w:w="1800"/>
      </w:tblGrid>
      <w:tr w:rsidR="00F86E80">
        <w:trPr>
          <w:trHeight w:val="665"/>
        </w:trPr>
        <w:tc>
          <w:tcPr>
            <w:tcW w:w="85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0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Year </w:t>
            </w:r>
          </w:p>
          <w:p w:rsidR="00F86E80" w:rsidRDefault="00F86E80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F86E80">
        <w:tc>
          <w:tcPr>
            <w:tcW w:w="85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 xml:space="preserve">S. </w:t>
            </w:r>
            <w:proofErr w:type="spellStart"/>
            <w:r>
              <w:t>Arunajatesan</w:t>
            </w:r>
            <w:proofErr w:type="spellEnd"/>
            <w:r>
              <w:t xml:space="preserve">&amp; T. </w:t>
            </w:r>
            <w:proofErr w:type="spellStart"/>
            <w:r>
              <w:t>R.Viswanathan</w:t>
            </w:r>
            <w:proofErr w:type="spellEnd"/>
          </w:p>
        </w:tc>
        <w:tc>
          <w:tcPr>
            <w:tcW w:w="282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>Risk Management and Insurance</w:t>
            </w:r>
          </w:p>
        </w:tc>
        <w:tc>
          <w:tcPr>
            <w:tcW w:w="2310" w:type="dxa"/>
          </w:tcPr>
          <w:p w:rsidR="00F86E80" w:rsidRDefault="00697E99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t>Trinity Press</w:t>
            </w:r>
          </w:p>
        </w:tc>
        <w:tc>
          <w:tcPr>
            <w:tcW w:w="180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>Edition, 2015</w:t>
            </w:r>
          </w:p>
        </w:tc>
      </w:tr>
      <w:tr w:rsidR="00F86E80">
        <w:tc>
          <w:tcPr>
            <w:tcW w:w="85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P.K.Gupta</w:t>
            </w:r>
            <w:proofErr w:type="spellEnd"/>
          </w:p>
        </w:tc>
        <w:tc>
          <w:tcPr>
            <w:tcW w:w="282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Insurance and Risk management</w:t>
            </w:r>
          </w:p>
        </w:tc>
        <w:tc>
          <w:tcPr>
            <w:tcW w:w="23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t>Himalaya</w:t>
            </w:r>
          </w:p>
        </w:tc>
        <w:tc>
          <w:tcPr>
            <w:tcW w:w="180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>Edition, 2018</w:t>
            </w:r>
          </w:p>
        </w:tc>
      </w:tr>
      <w:tr w:rsidR="00F86E80">
        <w:tc>
          <w:tcPr>
            <w:tcW w:w="855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Trieschmann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James S, Hoyt, Robert E. ,Sommer, David W.</w:t>
            </w:r>
          </w:p>
        </w:tc>
        <w:tc>
          <w:tcPr>
            <w:tcW w:w="282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Risk Management and Insurance</w:t>
            </w:r>
          </w:p>
        </w:tc>
        <w:tc>
          <w:tcPr>
            <w:tcW w:w="231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Cengage Learning India Pvt. Ltd.</w:t>
            </w:r>
          </w:p>
        </w:tc>
        <w:tc>
          <w:tcPr>
            <w:tcW w:w="1800" w:type="dxa"/>
          </w:tcPr>
          <w:p w:rsidR="00F86E80" w:rsidRDefault="00697E99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</w:rPr>
              <w:t>Edition, 2004</w:t>
            </w:r>
          </w:p>
        </w:tc>
      </w:tr>
    </w:tbl>
    <w:p w:rsidR="00F86E80" w:rsidRDefault="00F86E80">
      <w:pPr>
        <w:spacing w:line="240" w:lineRule="auto"/>
        <w:rPr>
          <w:rFonts w:eastAsia="Calibri" w:cs="Calibri"/>
          <w:sz w:val="20"/>
          <w:szCs w:val="20"/>
        </w:rPr>
      </w:pPr>
      <w:bookmarkStart w:id="1" w:name="_GoBack"/>
      <w:bookmarkEnd w:id="1"/>
    </w:p>
    <w:sectPr w:rsidR="00F86E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2D" w:rsidRDefault="00B55B2D">
      <w:pPr>
        <w:spacing w:after="0" w:line="240" w:lineRule="auto"/>
      </w:pPr>
      <w:r>
        <w:separator/>
      </w:r>
    </w:p>
  </w:endnote>
  <w:endnote w:type="continuationSeparator" w:id="0">
    <w:p w:rsidR="00B55B2D" w:rsidRDefault="00B5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80" w:rsidRDefault="00697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F95C13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F95C13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F86E80" w:rsidRDefault="00F86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F86E80" w:rsidRDefault="00F86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2D" w:rsidRDefault="00B55B2D">
      <w:pPr>
        <w:spacing w:after="0" w:line="240" w:lineRule="auto"/>
      </w:pPr>
      <w:r>
        <w:separator/>
      </w:r>
    </w:p>
  </w:footnote>
  <w:footnote w:type="continuationSeparator" w:id="0">
    <w:p w:rsidR="00B55B2D" w:rsidRDefault="00B5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80" w:rsidRDefault="00697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737E"/>
    <w:multiLevelType w:val="multilevel"/>
    <w:tmpl w:val="DF16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80"/>
    <w:rsid w:val="00697E99"/>
    <w:rsid w:val="00B55B2D"/>
    <w:rsid w:val="00CF55D9"/>
    <w:rsid w:val="00ED7063"/>
    <w:rsid w:val="00F86E80"/>
    <w:rsid w:val="00F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78F9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Om30F6t1CIhyir8pwNr8IAZw==">AMUW2mW/NzY4V82XqJ1QWxwo4iI+4XODHd1dJ9vnJ23aFRSyJEfmfEk6kwthrk55E9inbwKpsI4g0wtSlFuC553DO81tSzTDsjrTiWNobcBnIaIYxgipAinPwWL4VZ768n5Vgr3xLe/2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2021-06-17T12:51:00Z</cp:lastPrinted>
  <dcterms:created xsi:type="dcterms:W3CDTF">2021-09-11T06:50:00Z</dcterms:created>
  <dcterms:modified xsi:type="dcterms:W3CDTF">2021-09-11T06:50:00Z</dcterms:modified>
</cp:coreProperties>
</file>